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F2B1"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</w:t>
      </w:r>
    </w:p>
    <w:p w14:paraId="2809E8B4">
      <w:pPr>
        <w:pStyle w:val="2"/>
        <w:rPr>
          <w:rFonts w:hint="eastAsia"/>
          <w:lang w:val="en-US" w:eastAsia="zh-CN"/>
        </w:rPr>
      </w:pPr>
    </w:p>
    <w:p w14:paraId="617AB8AB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eastAsia="新宋体"/>
          <w:b/>
          <w:sz w:val="44"/>
        </w:rPr>
        <w:t>比选</w:t>
      </w:r>
      <w:r>
        <w:rPr>
          <w:rFonts w:eastAsia="新宋体"/>
          <w:b/>
          <w:sz w:val="44"/>
        </w:rPr>
        <w:t>评审指标和分值设置</w:t>
      </w:r>
      <w:bookmarkEnd w:id="0"/>
    </w:p>
    <w:tbl>
      <w:tblPr>
        <w:tblStyle w:val="8"/>
        <w:tblpPr w:leftFromText="180" w:rightFromText="180" w:vertAnchor="text" w:horzAnchor="page" w:tblpX="1335" w:tblpY="1092"/>
        <w:tblOverlap w:val="never"/>
        <w:tblW w:w="9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07"/>
        <w:gridCol w:w="6104"/>
      </w:tblGrid>
      <w:tr w14:paraId="4B2C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75" w:type="dxa"/>
            <w:gridSpan w:val="2"/>
            <w:vAlign w:val="center"/>
          </w:tcPr>
          <w:p w14:paraId="19C87A71">
            <w:pPr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评审因素</w:t>
            </w:r>
          </w:p>
        </w:tc>
        <w:tc>
          <w:tcPr>
            <w:tcW w:w="6104" w:type="dxa"/>
            <w:vAlign w:val="center"/>
          </w:tcPr>
          <w:p w14:paraId="7CF2F983">
            <w:pPr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评审标准</w:t>
            </w:r>
          </w:p>
        </w:tc>
      </w:tr>
      <w:tr w14:paraId="2416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475" w:type="dxa"/>
            <w:gridSpan w:val="2"/>
            <w:vAlign w:val="center"/>
          </w:tcPr>
          <w:p w14:paraId="0C937360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分值构成</w:t>
            </w:r>
          </w:p>
        </w:tc>
        <w:tc>
          <w:tcPr>
            <w:tcW w:w="6104" w:type="dxa"/>
          </w:tcPr>
          <w:p w14:paraId="526E4C73">
            <w:pPr>
              <w:numPr>
                <w:ilvl w:val="0"/>
                <w:numId w:val="1"/>
              </w:num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技术部分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  <w:p w14:paraId="12AB5FC6">
            <w:pPr>
              <w:numPr>
                <w:ilvl w:val="0"/>
                <w:numId w:val="1"/>
              </w:num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商务部分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  <w:p w14:paraId="6CA1EAB7">
            <w:pPr>
              <w:numPr>
                <w:ilvl w:val="0"/>
                <w:numId w:val="1"/>
              </w:num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报价得分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</w:tc>
      </w:tr>
      <w:tr w14:paraId="2D35C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68" w:type="dxa"/>
            <w:vMerge w:val="restart"/>
          </w:tcPr>
          <w:p w14:paraId="3E6B1993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1D5CB35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A4F3781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C5571B3">
            <w:pPr>
              <w:spacing w:beforeAutospacing="0" w:afterAutospacing="0" w:line="360" w:lineRule="auto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技术部分</w:t>
            </w:r>
          </w:p>
          <w:p w14:paraId="38EFA680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（满分5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1807" w:type="dxa"/>
            <w:vAlign w:val="center"/>
          </w:tcPr>
          <w:p w14:paraId="2D97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服务方案与技术措施</w:t>
            </w:r>
          </w:p>
          <w:p w14:paraId="637A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（0-20分）</w:t>
            </w:r>
          </w:p>
        </w:tc>
        <w:tc>
          <w:tcPr>
            <w:tcW w:w="6104" w:type="dxa"/>
            <w:vAlign w:val="center"/>
          </w:tcPr>
          <w:p w14:paraId="19B51D8C"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呼和浩特市植物园生活用水管网提升改造服务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方案与技术措施具体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、有针对性，能指导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施工好得14.1-20分，中得7.1-14分，差得0-7分。本项最多得20分。</w:t>
            </w:r>
          </w:p>
        </w:tc>
      </w:tr>
      <w:tr w14:paraId="29E7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68" w:type="dxa"/>
            <w:vMerge w:val="continue"/>
          </w:tcPr>
          <w:p w14:paraId="748991CE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6A9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安全文明及环境保护措施</w:t>
            </w:r>
          </w:p>
          <w:p w14:paraId="7A61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6104" w:type="dxa"/>
            <w:vAlign w:val="center"/>
          </w:tcPr>
          <w:p w14:paraId="27BA02F0"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针对本项目有健全的安全文明施工保证措施、环境保护措施，各项措施落实具体有效，好得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分，中得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分，差得0-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分。本项最多得1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</w:tc>
      </w:tr>
      <w:tr w14:paraId="42F0C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68" w:type="dxa"/>
            <w:vMerge w:val="continue"/>
          </w:tcPr>
          <w:p w14:paraId="0408FD59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48D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劳动力配置</w:t>
            </w:r>
          </w:p>
          <w:p w14:paraId="7D75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6104" w:type="dxa"/>
            <w:vAlign w:val="center"/>
          </w:tcPr>
          <w:p w14:paraId="75896289">
            <w:pPr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投入本项目人员配备齐全，人员数量充足、安排合理。投入计划与进度计划相呼应，人员齐全且分工明确、管理制度、考核制度完善，好得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分，中得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分，差得0-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分。本项最多得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</w:tc>
      </w:tr>
      <w:tr w14:paraId="688D7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68" w:type="dxa"/>
            <w:vMerge w:val="restart"/>
            <w:vAlign w:val="center"/>
          </w:tcPr>
          <w:p w14:paraId="0023938F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商务部分</w:t>
            </w:r>
          </w:p>
          <w:p w14:paraId="004A02A9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（满分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1807" w:type="dxa"/>
            <w:vAlign w:val="center"/>
          </w:tcPr>
          <w:p w14:paraId="67914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210" w:firstLineChars="1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质保期承诺</w:t>
            </w:r>
          </w:p>
          <w:p w14:paraId="0CFE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6104" w:type="dxa"/>
            <w:vAlign w:val="center"/>
          </w:tcPr>
          <w:p w14:paraId="71E4C14D">
            <w:pPr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对所提供的材料、服务的质保期（设施正常使用的情况下）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承诺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在三年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基础上每延长一年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分，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质保期延长二年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15分；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本项最多得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不承诺不得分。</w:t>
            </w:r>
          </w:p>
        </w:tc>
      </w:tr>
      <w:tr w14:paraId="1573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68" w:type="dxa"/>
            <w:vMerge w:val="continue"/>
          </w:tcPr>
          <w:p w14:paraId="31CF8084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509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保修、维修时效</w:t>
            </w:r>
          </w:p>
          <w:p w14:paraId="0D510012">
            <w:pPr>
              <w:pStyle w:val="25"/>
              <w:keepNext w:val="0"/>
              <w:keepLines w:val="0"/>
              <w:pageBreakBefore w:val="0"/>
              <w:widowControl w:val="0"/>
              <w:tabs>
                <w:tab w:val="clear" w:pos="1440"/>
                <w:tab w:val="clear" w:pos="4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210" w:firstLineChars="1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（0-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6104" w:type="dxa"/>
            <w:vAlign w:val="center"/>
          </w:tcPr>
          <w:p w14:paraId="40F7B4C7">
            <w:pPr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自接到采购人故障报修通知之时起计算，供应商承诺24-48小时之内排除故障的得8分，承诺12-24小时之内排除故障的得16分，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不承诺不得分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A72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vMerge w:val="restart"/>
            <w:vAlign w:val="center"/>
          </w:tcPr>
          <w:p w14:paraId="40D0C46D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</w:t>
            </w:r>
          </w:p>
          <w:p w14:paraId="29D2DB14">
            <w:pPr>
              <w:spacing w:beforeAutospacing="0" w:afterAutospacing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（满分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分）</w:t>
            </w:r>
          </w:p>
        </w:tc>
        <w:tc>
          <w:tcPr>
            <w:tcW w:w="1807" w:type="dxa"/>
            <w:vAlign w:val="center"/>
          </w:tcPr>
          <w:p w14:paraId="16CA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评标基准价确定方法</w:t>
            </w:r>
          </w:p>
        </w:tc>
        <w:tc>
          <w:tcPr>
            <w:tcW w:w="6104" w:type="dxa"/>
            <w:vAlign w:val="center"/>
          </w:tcPr>
          <w:p w14:paraId="1FAD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满足比选方案要求通过初步评审的且比选报价最低的为评标基准价。</w:t>
            </w:r>
          </w:p>
        </w:tc>
      </w:tr>
      <w:tr w14:paraId="153D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68" w:type="dxa"/>
            <w:vMerge w:val="continue"/>
            <w:vAlign w:val="center"/>
          </w:tcPr>
          <w:p w14:paraId="6E01C5A1"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8C5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报价得分</w:t>
            </w:r>
          </w:p>
        </w:tc>
        <w:tc>
          <w:tcPr>
            <w:tcW w:w="6104" w:type="dxa"/>
            <w:vAlign w:val="center"/>
          </w:tcPr>
          <w:p w14:paraId="5078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报价得分=（评标基准价/投标报价）×价格权值×100%</w:t>
            </w:r>
          </w:p>
          <w:p w14:paraId="4AAF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最低报价不是中选的唯一依据。</w:t>
            </w:r>
          </w:p>
        </w:tc>
      </w:tr>
    </w:tbl>
    <w:p w14:paraId="1CA0AA77">
      <w:pPr>
        <w:rPr>
          <w:rFonts w:hint="eastAsia"/>
          <w:lang w:val="en-US" w:eastAsia="zh-CN"/>
        </w:rPr>
      </w:pPr>
    </w:p>
    <w:p w14:paraId="65825504">
      <w:pPr>
        <w:rPr>
          <w:rFonts w:hint="eastAsia"/>
          <w:lang w:val="en-US" w:eastAsia="zh-CN"/>
        </w:rPr>
      </w:pPr>
    </w:p>
    <w:p w14:paraId="5075C713"/>
    <w:p w14:paraId="55C99429">
      <w:pPr>
        <w:rPr>
          <w:rFonts w:hint="eastAsia"/>
          <w:lang w:val="en-US" w:eastAsia="zh-CN"/>
        </w:rPr>
      </w:pPr>
    </w:p>
    <w:p w14:paraId="238B8B3F">
      <w:pPr>
        <w:rPr>
          <w:rFonts w:hint="eastAsia"/>
          <w:lang w:val="en-US" w:eastAsia="zh-CN"/>
        </w:rPr>
      </w:pPr>
    </w:p>
    <w:p w14:paraId="5D459FC2">
      <w:pPr>
        <w:pStyle w:val="2"/>
        <w:rPr>
          <w:rFonts w:hint="eastAsia"/>
          <w:lang w:val="en-US" w:eastAsia="zh-CN"/>
        </w:rPr>
      </w:pPr>
    </w:p>
    <w:p w14:paraId="0EFD7E9D">
      <w:pPr>
        <w:pStyle w:val="5"/>
        <w:rPr>
          <w:rFonts w:hint="eastAsia" w:ascii="宋体" w:hAnsi="宋体" w:eastAsia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293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5937">
    <w:pPr>
      <w:pStyle w:val="19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B28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B28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7EFD13">
    <w:pPr>
      <w:pStyle w:val="19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zAyODA2ZDIzMzY2N2FhNGUxMzJjOTRlOWMzYTEifQ=="/>
  </w:docVars>
  <w:rsids>
    <w:rsidRoot w:val="00000000"/>
    <w:rsid w:val="0385459C"/>
    <w:rsid w:val="08AF4CD7"/>
    <w:rsid w:val="0A876E4C"/>
    <w:rsid w:val="0AAC26AE"/>
    <w:rsid w:val="0B753148"/>
    <w:rsid w:val="0EE96DBC"/>
    <w:rsid w:val="10501D03"/>
    <w:rsid w:val="13390EFF"/>
    <w:rsid w:val="141761CC"/>
    <w:rsid w:val="15160EA1"/>
    <w:rsid w:val="15DC65E3"/>
    <w:rsid w:val="1638549E"/>
    <w:rsid w:val="187059FC"/>
    <w:rsid w:val="191B532F"/>
    <w:rsid w:val="1A75281D"/>
    <w:rsid w:val="1D0809D6"/>
    <w:rsid w:val="1D1E52D4"/>
    <w:rsid w:val="1D7F39B2"/>
    <w:rsid w:val="1DD7559C"/>
    <w:rsid w:val="1E8466E8"/>
    <w:rsid w:val="1F281623"/>
    <w:rsid w:val="1F3F00AF"/>
    <w:rsid w:val="20FF7EE0"/>
    <w:rsid w:val="21657C15"/>
    <w:rsid w:val="21F26E49"/>
    <w:rsid w:val="255756D9"/>
    <w:rsid w:val="2A221EFC"/>
    <w:rsid w:val="2B8656DD"/>
    <w:rsid w:val="2BEC3927"/>
    <w:rsid w:val="2DA82AB1"/>
    <w:rsid w:val="33C323F3"/>
    <w:rsid w:val="34E215B4"/>
    <w:rsid w:val="365862DA"/>
    <w:rsid w:val="3692739A"/>
    <w:rsid w:val="399D36E6"/>
    <w:rsid w:val="3A7E52C6"/>
    <w:rsid w:val="3C6614FB"/>
    <w:rsid w:val="3DB57251"/>
    <w:rsid w:val="431829B0"/>
    <w:rsid w:val="457948A6"/>
    <w:rsid w:val="46AD2D0E"/>
    <w:rsid w:val="46CE59EE"/>
    <w:rsid w:val="49D071C0"/>
    <w:rsid w:val="49E11122"/>
    <w:rsid w:val="4C6A56B8"/>
    <w:rsid w:val="4C8D1398"/>
    <w:rsid w:val="4FAA60D7"/>
    <w:rsid w:val="516B7FC2"/>
    <w:rsid w:val="52263560"/>
    <w:rsid w:val="5267121F"/>
    <w:rsid w:val="538212BC"/>
    <w:rsid w:val="55B87486"/>
    <w:rsid w:val="592B05AB"/>
    <w:rsid w:val="5B9320BD"/>
    <w:rsid w:val="5F201EF3"/>
    <w:rsid w:val="5FAF4521"/>
    <w:rsid w:val="615D00E9"/>
    <w:rsid w:val="64243F39"/>
    <w:rsid w:val="6535629C"/>
    <w:rsid w:val="66FA678E"/>
    <w:rsid w:val="69AE677E"/>
    <w:rsid w:val="6A8527F9"/>
    <w:rsid w:val="6BA86D46"/>
    <w:rsid w:val="6D0F39D8"/>
    <w:rsid w:val="6DDC56AB"/>
    <w:rsid w:val="6FAA38A3"/>
    <w:rsid w:val="70F33611"/>
    <w:rsid w:val="726E117A"/>
    <w:rsid w:val="727147ED"/>
    <w:rsid w:val="74317868"/>
    <w:rsid w:val="759C4277"/>
    <w:rsid w:val="764B39B8"/>
    <w:rsid w:val="77067DB8"/>
    <w:rsid w:val="772E53A2"/>
    <w:rsid w:val="7879264D"/>
    <w:rsid w:val="78FC0F15"/>
    <w:rsid w:val="78FF0DA4"/>
    <w:rsid w:val="7B3D3E06"/>
    <w:rsid w:val="7D5D1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ody Text First Indent 2"/>
    <w:basedOn w:val="3"/>
    <w:qFormat/>
    <w:uiPriority w:val="0"/>
    <w:pPr>
      <w:tabs>
        <w:tab w:val="left" w:pos="1440"/>
        <w:tab w:val="left" w:pos="4560"/>
      </w:tabs>
      <w:spacing w:after="0" w:line="360" w:lineRule="atLeast"/>
      <w:ind w:left="0" w:leftChars="0" w:firstLine="420" w:firstLineChars="200"/>
      <w:textAlignment w:val="baseline"/>
    </w:pPr>
    <w:rPr>
      <w:rFonts w:ascii="宋体"/>
      <w:sz w:val="24"/>
      <w:szCs w:val="20"/>
    </w:rPr>
  </w:style>
  <w:style w:type="paragraph" w:customStyle="1" w:styleId="10">
    <w:name w:val="标题 11"/>
    <w:basedOn w:val="1"/>
    <w:qFormat/>
    <w:uiPriority w:val="0"/>
    <w:pPr>
      <w:autoSpaceDE w:val="0"/>
      <w:autoSpaceDN w:val="0"/>
      <w:spacing w:before="240" w:beforeAutospacing="0" w:after="120" w:afterAutospacing="0" w:line="300" w:lineRule="auto"/>
      <w:jc w:val="center"/>
      <w:outlineLvl w:val="0"/>
    </w:pPr>
    <w:rPr>
      <w:rFonts w:ascii="宋体"/>
      <w:b/>
      <w:bCs/>
      <w:kern w:val="44"/>
      <w:sz w:val="32"/>
      <w:szCs w:val="32"/>
    </w:rPr>
  </w:style>
  <w:style w:type="paragraph" w:customStyle="1" w:styleId="11">
    <w:name w:val="标题 21"/>
    <w:basedOn w:val="1"/>
    <w:qFormat/>
    <w:uiPriority w:val="0"/>
    <w:pPr>
      <w:spacing w:before="260" w:beforeAutospacing="0" w:after="260" w:afterAutospacing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标题 31"/>
    <w:basedOn w:val="1"/>
    <w:qFormat/>
    <w:uiPriority w:val="0"/>
    <w:pPr>
      <w:autoSpaceDE w:val="0"/>
      <w:autoSpaceDN w:val="0"/>
      <w:spacing w:before="360" w:beforeAutospacing="0" w:after="120" w:afterAutospacing="0"/>
      <w:jc w:val="left"/>
      <w:outlineLvl w:val="2"/>
    </w:pPr>
    <w:rPr>
      <w:rFonts w:ascii="宋体"/>
      <w:b/>
      <w:bCs/>
      <w:kern w:val="0"/>
      <w:sz w:val="24"/>
      <w:szCs w:val="24"/>
      <w:u w:val="single"/>
    </w:rPr>
  </w:style>
  <w:style w:type="paragraph" w:customStyle="1" w:styleId="13">
    <w:name w:val="标题 41"/>
    <w:basedOn w:val="1"/>
    <w:qFormat/>
    <w:uiPriority w:val="0"/>
    <w:pPr>
      <w:spacing w:before="240" w:beforeAutospacing="0" w:after="60" w:afterAutospacing="0"/>
      <w:outlineLvl w:val="3"/>
    </w:pPr>
    <w:rPr>
      <w:b/>
      <w:bCs/>
      <w:sz w:val="28"/>
      <w:szCs w:val="28"/>
    </w:rPr>
  </w:style>
  <w:style w:type="character" w:customStyle="1" w:styleId="14">
    <w:name w:val="默认段落字体1"/>
    <w:qFormat/>
    <w:uiPriority w:val="0"/>
  </w:style>
  <w:style w:type="table" w:customStyle="1" w:styleId="15">
    <w:name w:val="普通表格1"/>
    <w:qFormat/>
    <w:uiPriority w:val="0"/>
  </w:style>
  <w:style w:type="character" w:customStyle="1" w:styleId="16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7">
    <w:name w:val="标题1"/>
    <w:basedOn w:val="1"/>
    <w:link w:val="16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页脚 Char"/>
    <w:link w:val="19"/>
    <w:qFormat/>
    <w:uiPriority w:val="0"/>
    <w:rPr>
      <w:kern w:val="2"/>
      <w:sz w:val="18"/>
      <w:szCs w:val="18"/>
    </w:rPr>
  </w:style>
  <w:style w:type="paragraph" w:customStyle="1" w:styleId="19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页眉 Char"/>
    <w:link w:val="21"/>
    <w:qFormat/>
    <w:uiPriority w:val="0"/>
    <w:rPr>
      <w:kern w:val="2"/>
      <w:sz w:val="18"/>
      <w:szCs w:val="18"/>
    </w:rPr>
  </w:style>
  <w:style w:type="paragraph" w:customStyle="1" w:styleId="21">
    <w:name w:val="页眉1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正文文本1"/>
    <w:basedOn w:val="1"/>
    <w:qFormat/>
    <w:uiPriority w:val="0"/>
    <w:pPr>
      <w:tabs>
        <w:tab w:val="left" w:pos="567"/>
      </w:tabs>
      <w:spacing w:before="120" w:beforeAutospacing="0" w:afterAutospacing="0" w:line="22" w:lineRule="atLeast"/>
    </w:pPr>
    <w:rPr>
      <w:rFonts w:ascii="宋体" w:hAnsi="宋体"/>
      <w:sz w:val="24"/>
      <w:szCs w:val="24"/>
    </w:rPr>
  </w:style>
  <w:style w:type="paragraph" w:customStyle="1" w:styleId="23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24">
    <w:name w:val="正文缩进1"/>
    <w:basedOn w:val="1"/>
    <w:qFormat/>
    <w:uiPriority w:val="0"/>
    <w:pPr>
      <w:ind w:firstLine="420" w:firstLineChars="200"/>
    </w:pPr>
  </w:style>
  <w:style w:type="paragraph" w:customStyle="1" w:styleId="25">
    <w:name w:val="正文首行缩进 21"/>
    <w:basedOn w:val="23"/>
    <w:qFormat/>
    <w:uiPriority w:val="0"/>
    <w:pPr>
      <w:tabs>
        <w:tab w:val="left" w:pos="1440"/>
        <w:tab w:val="left" w:pos="4560"/>
      </w:tabs>
      <w:spacing w:beforeAutospacing="0" w:after="0" w:afterAutospacing="0" w:line="360" w:lineRule="atLeast"/>
      <w:ind w:left="0" w:leftChars="0" w:firstLine="420" w:firstLineChars="200"/>
    </w:pPr>
    <w:rPr>
      <w:rFonts w:ascii="宋体"/>
      <w:sz w:val="24"/>
      <w:szCs w:val="20"/>
    </w:rPr>
  </w:style>
  <w:style w:type="paragraph" w:customStyle="1" w:styleId="2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7">
    <w:name w:val="正文文本缩进 21"/>
    <w:basedOn w:val="1"/>
    <w:qFormat/>
    <w:uiPriority w:val="0"/>
    <w:pPr>
      <w:ind w:firstLine="240" w:firstLineChars="100"/>
    </w:pPr>
    <w:rPr>
      <w:sz w:val="24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sz w:val="32"/>
      <w:szCs w:val="20"/>
    </w:rPr>
  </w:style>
  <w:style w:type="paragraph" w:customStyle="1" w:styleId="29">
    <w:name w:val="正文（首行缩进两字）"/>
    <w:basedOn w:val="24"/>
    <w:qFormat/>
    <w:uiPriority w:val="0"/>
    <w:pPr>
      <w:autoSpaceDE w:val="0"/>
      <w:autoSpaceDN w:val="0"/>
      <w:snapToGrid w:val="0"/>
      <w:spacing w:before="120" w:beforeAutospacing="0" w:after="120" w:afterAutospacing="0"/>
      <w:ind w:left="851" w:firstLine="480"/>
      <w:jc w:val="left"/>
    </w:pPr>
    <w:rPr>
      <w:kern w:val="0"/>
      <w:sz w:val="24"/>
      <w:szCs w:val="24"/>
    </w:rPr>
  </w:style>
  <w:style w:type="paragraph" w:customStyle="1" w:styleId="3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2"/>
      <w:lang w:val="zh-CN"/>
    </w:rPr>
  </w:style>
  <w:style w:type="table" w:customStyle="1" w:styleId="31">
    <w:name w:val="网格型1"/>
    <w:basedOn w:val="15"/>
    <w:qFormat/>
    <w:uiPriority w:val="0"/>
    <w:pPr>
      <w:widowControl w:val="0"/>
      <w:jc w:val="both"/>
    </w:pPr>
    <w:rPr>
      <w:rFonts w:ascii="Calibri" w:hAnsi="Calibri"/>
    </w:rPr>
  </w:style>
  <w:style w:type="character" w:customStyle="1" w:styleId="32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7036</Words>
  <Characters>8218</Characters>
  <Paragraphs>172</Paragraphs>
  <TotalTime>58</TotalTime>
  <ScaleCrop>false</ScaleCrop>
  <LinksUpToDate>false</LinksUpToDate>
  <CharactersWithSpaces>8575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2023-02-17T11:22:00Z</dcterms:created>
  <dc:creator>WPS Office</dc:creator>
  <cp:lastModifiedBy>武振宇</cp:lastModifiedBy>
  <cp:lastPrinted>2025-04-02T03:14:00Z</cp:lastPrinted>
  <dcterms:modified xsi:type="dcterms:W3CDTF">2025-04-03T03:18:00Z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5B247A68457A404F834D8BBD995456E2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